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0F" w:rsidRPr="00F722EC" w:rsidRDefault="00C317D5" w:rsidP="00F722EC">
      <w:pPr>
        <w:rPr>
          <w:sz w:val="28"/>
          <w:u w:val="single"/>
        </w:rPr>
      </w:pPr>
      <w:r>
        <w:rPr>
          <w:sz w:val="28"/>
          <w:u w:val="single"/>
        </w:rPr>
        <w:t xml:space="preserve">Binding Energy and </w:t>
      </w:r>
      <w:r w:rsidR="00840C2F">
        <w:rPr>
          <w:sz w:val="28"/>
          <w:u w:val="single"/>
        </w:rPr>
        <w:t>Nuclear Notation</w:t>
      </w:r>
      <w:r>
        <w:rPr>
          <w:sz w:val="28"/>
          <w:u w:val="single"/>
        </w:rPr>
        <w:t xml:space="preserve"> </w:t>
      </w:r>
    </w:p>
    <w:p w:rsidR="0010405B" w:rsidRDefault="00A84988" w:rsidP="008D0023">
      <w:r>
        <w:rPr>
          <w:b/>
        </w:rPr>
        <w:t>Atomic Notation</w:t>
      </w:r>
      <w:r w:rsidR="008D0023">
        <w:t xml:space="preserve"> – </w:t>
      </w:r>
      <w:r>
        <w:t>Physicists care about isotopes – the same element with different numbers of neutrons.</w:t>
      </w:r>
    </w:p>
    <w:p w:rsidR="00DD1AED" w:rsidRDefault="00DD1AED" w:rsidP="008D0023"/>
    <w:p w:rsidR="00E34732" w:rsidRDefault="00E34732" w:rsidP="008D0023">
      <w:pPr>
        <w:rPr>
          <w:color w:val="000000"/>
          <w:szCs w:val="48"/>
        </w:rPr>
      </w:pPr>
      <w:r w:rsidRPr="00A84988">
        <w:rPr>
          <w:color w:val="000000"/>
          <w:position w:val="-12"/>
          <w:szCs w:val="48"/>
        </w:rPr>
        <w:object w:dxaOrig="4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20.65pt" o:ole="">
            <v:imagedata r:id="rId7" o:title=""/>
          </v:shape>
          <o:OLEObject Type="Embed" ProgID="Equation.3" ShapeID="_x0000_i1025" DrawAspect="Content" ObjectID="_1521375076" r:id="rId8"/>
        </w:object>
      </w:r>
      <w:r w:rsidR="00A84988">
        <w:rPr>
          <w:color w:val="000000"/>
          <w:szCs w:val="48"/>
        </w:rPr>
        <w:t xml:space="preserve"> - </w:t>
      </w:r>
    </w:p>
    <w:p w:rsidR="00E34732" w:rsidRDefault="00A84988" w:rsidP="00E34732">
      <w:pPr>
        <w:ind w:left="720"/>
        <w:rPr>
          <w:color w:val="000000"/>
          <w:szCs w:val="48"/>
        </w:rPr>
      </w:pPr>
      <w:r>
        <w:rPr>
          <w:color w:val="000000"/>
          <w:szCs w:val="48"/>
        </w:rPr>
        <w:t xml:space="preserve">Z = </w:t>
      </w:r>
      <w:r w:rsidR="003E08BD">
        <w:rPr>
          <w:color w:val="000000"/>
          <w:szCs w:val="48"/>
        </w:rPr>
        <w:t>A</w:t>
      </w:r>
      <w:r>
        <w:rPr>
          <w:color w:val="000000"/>
          <w:szCs w:val="48"/>
        </w:rPr>
        <w:t xml:space="preserve">tomic number (Number of protons </w:t>
      </w:r>
      <w:r w:rsidR="00E34732">
        <w:rPr>
          <w:color w:val="000000"/>
          <w:szCs w:val="48"/>
        </w:rPr>
        <w:t>and electrons in neutral atom)</w:t>
      </w:r>
    </w:p>
    <w:p w:rsidR="00A84988" w:rsidRDefault="00A84988" w:rsidP="00E34732">
      <w:pPr>
        <w:ind w:left="720"/>
        <w:rPr>
          <w:color w:val="000000"/>
          <w:szCs w:val="48"/>
        </w:rPr>
      </w:pPr>
      <w:r>
        <w:rPr>
          <w:color w:val="000000"/>
          <w:szCs w:val="48"/>
        </w:rPr>
        <w:t xml:space="preserve">A = </w:t>
      </w:r>
      <w:r w:rsidR="003E08BD">
        <w:rPr>
          <w:color w:val="000000"/>
          <w:szCs w:val="48"/>
        </w:rPr>
        <w:t>A</w:t>
      </w:r>
      <w:r w:rsidR="00E34732">
        <w:rPr>
          <w:color w:val="000000"/>
          <w:szCs w:val="48"/>
        </w:rPr>
        <w:t>tomic mass number (#</w:t>
      </w:r>
      <w:r>
        <w:rPr>
          <w:color w:val="000000"/>
          <w:szCs w:val="48"/>
        </w:rPr>
        <w:t xml:space="preserve">Neutrons + </w:t>
      </w:r>
      <w:r w:rsidR="00E34732">
        <w:rPr>
          <w:color w:val="000000"/>
          <w:szCs w:val="48"/>
        </w:rPr>
        <w:t>#</w:t>
      </w:r>
      <w:r>
        <w:rPr>
          <w:color w:val="000000"/>
          <w:szCs w:val="48"/>
        </w:rPr>
        <w:t>Protons</w:t>
      </w:r>
      <w:r w:rsidR="00E34732">
        <w:rPr>
          <w:color w:val="000000"/>
          <w:szCs w:val="48"/>
        </w:rPr>
        <w:t>)</w:t>
      </w:r>
    </w:p>
    <w:p w:rsidR="00DD1AED" w:rsidRDefault="00DD1AED" w:rsidP="00E34732">
      <w:pPr>
        <w:ind w:left="720"/>
      </w:pPr>
    </w:p>
    <w:p w:rsidR="00393E96" w:rsidRDefault="00A84988" w:rsidP="008D0023">
      <w:r w:rsidRPr="00A84988">
        <w:rPr>
          <w:color w:val="000000"/>
          <w:position w:val="-14"/>
          <w:szCs w:val="48"/>
        </w:rPr>
        <w:object w:dxaOrig="440" w:dyaOrig="440">
          <v:shape id="_x0000_i1026" type="#_x0000_t75" style="width:22.1pt;height:22.1pt" o:ole="">
            <v:imagedata r:id="rId9" o:title=""/>
          </v:shape>
          <o:OLEObject Type="Embed" ProgID="Equation.3" ShapeID="_x0000_i1026" DrawAspect="Content" ObjectID="_1521375077" r:id="rId10"/>
        </w:object>
      </w:r>
      <w:r w:rsidR="00393E96">
        <w:rPr>
          <w:color w:val="000000"/>
          <w:szCs w:val="48"/>
        </w:rPr>
        <w:t xml:space="preserve">     </w:t>
      </w:r>
      <w:r w:rsidR="003E08BD">
        <w:rPr>
          <w:color w:val="000000"/>
          <w:szCs w:val="48"/>
        </w:rPr>
        <w:t xml:space="preserve">and       </w:t>
      </w:r>
      <w:r w:rsidR="00830C3D" w:rsidRPr="00A84988">
        <w:rPr>
          <w:color w:val="000000"/>
          <w:position w:val="-14"/>
          <w:szCs w:val="48"/>
        </w:rPr>
        <w:object w:dxaOrig="440" w:dyaOrig="440">
          <v:shape id="_x0000_i1027" type="#_x0000_t75" style="width:22.1pt;height:22.1pt" o:ole="">
            <v:imagedata r:id="rId11" o:title=""/>
          </v:shape>
          <o:OLEObject Type="Embed" ProgID="Equation.3" ShapeID="_x0000_i1027" DrawAspect="Content" ObjectID="_1521375078" r:id="rId12"/>
        </w:object>
      </w:r>
      <w:r w:rsidR="00393E96">
        <w:rPr>
          <w:color w:val="000000"/>
          <w:szCs w:val="48"/>
        </w:rPr>
        <w:t xml:space="preserve">  </w:t>
      </w:r>
      <w:r w:rsidR="003E08BD">
        <w:rPr>
          <w:color w:val="000000"/>
          <w:szCs w:val="48"/>
        </w:rPr>
        <w:t>are isotopes.  (C-14 is radioactive)</w:t>
      </w:r>
    </w:p>
    <w:p w:rsidR="007D2D00" w:rsidRDefault="007D2D00" w:rsidP="008D0023"/>
    <w:p w:rsidR="007317F7" w:rsidRPr="00EE4AC3" w:rsidRDefault="007317F7" w:rsidP="008D0023">
      <w:pPr>
        <w:rPr>
          <w:sz w:val="18"/>
        </w:rPr>
      </w:pPr>
      <w:r w:rsidRPr="007317F7">
        <w:rPr>
          <w:b/>
        </w:rPr>
        <w:t>Binding Energy</w:t>
      </w:r>
      <w:r>
        <w:t xml:space="preserve"> – </w:t>
      </w:r>
      <w:r w:rsidRPr="00EE4AC3">
        <w:rPr>
          <w:sz w:val="18"/>
        </w:rPr>
        <w:t>The amount of energy it would take to separate the nucleus into pieces.  You split the atom into free neutrons, and hydrogen atoms, and compare the mass of the atom you look up in a table with the mass of the parts.  Since the parts have more mass, they represent more energy, and the increase in energy is the work you needed to do to separate the nucleus into parts.</w:t>
      </w:r>
      <w:r w:rsidR="00EE4AC3">
        <w:rPr>
          <w:sz w:val="18"/>
        </w:rPr>
        <w:t xml:space="preserve">  The more work you have to do, the more stable the nucleus is.</w:t>
      </w:r>
    </w:p>
    <w:p w:rsidR="00FD2CAA" w:rsidRDefault="00FD2CAA" w:rsidP="008D0023"/>
    <w:p w:rsidR="009807C9" w:rsidRDefault="009807C9" w:rsidP="008D0023">
      <w:r>
        <w:t>Atomic mass in general</w:t>
      </w:r>
      <w:r w:rsidR="00087A26">
        <w:t>:</w:t>
      </w:r>
      <w:r w:rsidR="005404FE">
        <w:tab/>
      </w:r>
      <w:r w:rsidR="005404FE">
        <w:tab/>
      </w:r>
      <w:r w:rsidR="005404FE">
        <w:tab/>
      </w:r>
      <w:r w:rsidR="005404FE">
        <w:tab/>
      </w:r>
      <w:r w:rsidR="005404FE">
        <w:tab/>
      </w:r>
      <w:r w:rsidR="005404FE">
        <w:tab/>
      </w:r>
      <w:r w:rsidR="007311CD" w:rsidRPr="007311CD">
        <w:rPr>
          <w:b/>
          <w:sz w:val="18"/>
        </w:rPr>
        <w:t xml:space="preserve">Derive that 1 u = 931.5 </w:t>
      </w:r>
      <w:proofErr w:type="spellStart"/>
      <w:r w:rsidR="005404FE" w:rsidRPr="007311CD">
        <w:rPr>
          <w:b/>
          <w:sz w:val="18"/>
        </w:rPr>
        <w:t>MeV</w:t>
      </w:r>
      <w:proofErr w:type="spellEnd"/>
      <w:r w:rsidR="005404FE" w:rsidRPr="007311CD">
        <w:rPr>
          <w:b/>
          <w:sz w:val="18"/>
        </w:rPr>
        <w:t xml:space="preserve"> </w:t>
      </w:r>
      <w:r w:rsidR="005404FE">
        <w:rPr>
          <w:b/>
          <w:sz w:val="18"/>
        </w:rPr>
        <w:t>using E = mc</w:t>
      </w:r>
      <w:r w:rsidR="005404FE" w:rsidRPr="005404FE">
        <w:rPr>
          <w:b/>
          <w:sz w:val="18"/>
          <w:vertAlign w:val="superscript"/>
        </w:rPr>
        <w:t>2</w:t>
      </w:r>
      <w:r w:rsidR="005404FE">
        <w:rPr>
          <w:b/>
          <w:sz w:val="18"/>
        </w:rPr>
        <w:t xml:space="preserve"> </w:t>
      </w:r>
      <w:r w:rsidR="007311CD" w:rsidRPr="007311CD">
        <w:rPr>
          <w:b/>
          <w:sz w:val="18"/>
        </w:rPr>
        <w:t>here</w:t>
      </w:r>
      <w:r w:rsidR="00E92CFB">
        <w:rPr>
          <w:b/>
          <w:sz w:val="18"/>
        </w:rPr>
        <w:sym w:font="Symbol" w:char="F0A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2880"/>
      </w:tblGrid>
      <w:tr w:rsidR="00FD2CAA" w:rsidTr="007311CD">
        <w:tc>
          <w:tcPr>
            <w:tcW w:w="4068" w:type="dxa"/>
          </w:tcPr>
          <w:p w:rsidR="00FD2CAA" w:rsidRPr="00FD2CAA" w:rsidRDefault="00FD2CAA" w:rsidP="007311CD">
            <w:pPr>
              <w:autoSpaceDE w:val="0"/>
              <w:autoSpaceDN w:val="0"/>
              <w:adjustRightInd w:val="0"/>
              <w:jc w:val="right"/>
              <w:rPr>
                <w:color w:val="000000"/>
                <w:szCs w:val="48"/>
              </w:rPr>
            </w:pPr>
          </w:p>
        </w:tc>
        <w:tc>
          <w:tcPr>
            <w:tcW w:w="2880" w:type="dxa"/>
          </w:tcPr>
          <w:p w:rsidR="00FD2CAA" w:rsidRPr="00A71D37" w:rsidRDefault="00FD2CAA" w:rsidP="00FD2CAA">
            <w:pPr>
              <w:tabs>
                <w:tab w:val="left" w:pos="1305"/>
              </w:tabs>
              <w:autoSpaceDE w:val="0"/>
              <w:autoSpaceDN w:val="0"/>
              <w:adjustRightInd w:val="0"/>
              <w:rPr>
                <w:color w:val="000000"/>
                <w:szCs w:val="48"/>
              </w:rPr>
            </w:pPr>
          </w:p>
        </w:tc>
      </w:tr>
    </w:tbl>
    <w:p w:rsidR="008F2C6E" w:rsidRPr="00FD2CAA" w:rsidRDefault="00EE4AC3" w:rsidP="008D0023">
      <w:pPr>
        <w:rPr>
          <w:b/>
        </w:rPr>
      </w:pPr>
      <w:r w:rsidRPr="00EE4AC3">
        <w:rPr>
          <w:b/>
        </w:rPr>
        <w:drawing>
          <wp:inline distT="0" distB="0" distL="0" distR="0">
            <wp:extent cx="5943600" cy="129794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1268" name="Picture 0"/>
                    <pic:cNvPicPr>
                      <a:picLocks noChangeAspect="1" noChangeArrowheads="1"/>
                    </pic:cNvPicPr>
                  </pic:nvPicPr>
                  <pic:blipFill>
                    <a:blip r:embed="rId13" cstate="print"/>
                    <a:srcRect/>
                    <a:stretch>
                      <a:fillRect/>
                    </a:stretch>
                  </pic:blipFill>
                  <pic:spPr bwMode="auto">
                    <a:xfrm>
                      <a:off x="0" y="0"/>
                      <a:ext cx="5943600" cy="1297940"/>
                    </a:xfrm>
                    <a:prstGeom prst="rect">
                      <a:avLst/>
                    </a:prstGeom>
                    <a:noFill/>
                    <a:ln w="38100">
                      <a:noFill/>
                      <a:miter lim="800000"/>
                      <a:headEnd/>
                      <a:tailEnd/>
                    </a:ln>
                  </pic:spPr>
                </pic:pic>
              </a:graphicData>
            </a:graphic>
          </wp:inline>
        </w:drawing>
      </w:r>
    </w:p>
    <w:p w:rsidR="00E92CFB" w:rsidRDefault="00E92CFB" w:rsidP="008D0023"/>
    <w:p w:rsidR="007D2D00" w:rsidRDefault="0075086E" w:rsidP="008D0023">
      <w:r>
        <w:t xml:space="preserve">Useful things to </w:t>
      </w:r>
      <w:r w:rsidR="007311CD">
        <w:t>know to calculate binding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2880"/>
      </w:tblGrid>
      <w:tr w:rsidR="00970C05" w:rsidTr="007311CD">
        <w:tc>
          <w:tcPr>
            <w:tcW w:w="4068" w:type="dxa"/>
          </w:tcPr>
          <w:p w:rsidR="00F606C8" w:rsidRDefault="00097C85" w:rsidP="00087A26">
            <w:pPr>
              <w:autoSpaceDE w:val="0"/>
              <w:autoSpaceDN w:val="0"/>
              <w:adjustRightInd w:val="0"/>
              <w:jc w:val="right"/>
              <w:rPr>
                <w:color w:val="000000"/>
                <w:szCs w:val="48"/>
              </w:rPr>
            </w:pPr>
            <w:r>
              <w:rPr>
                <w:color w:val="000000"/>
                <w:szCs w:val="48"/>
              </w:rPr>
              <w:t xml:space="preserve">Mass of Neutral Hydrogen atom = </w:t>
            </w:r>
          </w:p>
          <w:p w:rsidR="008F2C6E" w:rsidRDefault="008F2C6E" w:rsidP="00087A26">
            <w:pPr>
              <w:autoSpaceDE w:val="0"/>
              <w:autoSpaceDN w:val="0"/>
              <w:adjustRightInd w:val="0"/>
              <w:jc w:val="right"/>
              <w:rPr>
                <w:color w:val="000000"/>
                <w:szCs w:val="48"/>
              </w:rPr>
            </w:pPr>
            <w:r>
              <w:rPr>
                <w:color w:val="000000"/>
                <w:szCs w:val="48"/>
              </w:rPr>
              <w:t>Mass of Neutron</w:t>
            </w:r>
            <w:r w:rsidR="00097C85">
              <w:rPr>
                <w:color w:val="000000"/>
                <w:szCs w:val="48"/>
              </w:rPr>
              <w:t xml:space="preserve"> = </w:t>
            </w:r>
          </w:p>
          <w:p w:rsidR="00970C05" w:rsidRDefault="008F2C6E" w:rsidP="00087A26">
            <w:pPr>
              <w:autoSpaceDE w:val="0"/>
              <w:autoSpaceDN w:val="0"/>
              <w:adjustRightInd w:val="0"/>
              <w:jc w:val="right"/>
              <w:rPr>
                <w:color w:val="000000"/>
                <w:szCs w:val="48"/>
              </w:rPr>
            </w:pPr>
            <w:r>
              <w:rPr>
                <w:color w:val="000000"/>
                <w:szCs w:val="48"/>
              </w:rPr>
              <w:t>1 u =</w:t>
            </w:r>
          </w:p>
        </w:tc>
        <w:tc>
          <w:tcPr>
            <w:tcW w:w="2880" w:type="dxa"/>
          </w:tcPr>
          <w:p w:rsidR="00970C05" w:rsidRDefault="00A71D37" w:rsidP="008F2C6E">
            <w:pPr>
              <w:tabs>
                <w:tab w:val="left" w:pos="1305"/>
              </w:tabs>
              <w:autoSpaceDE w:val="0"/>
              <w:autoSpaceDN w:val="0"/>
              <w:adjustRightInd w:val="0"/>
              <w:rPr>
                <w:color w:val="000000"/>
                <w:szCs w:val="48"/>
              </w:rPr>
            </w:pPr>
            <w:r w:rsidRPr="00A71D37">
              <w:rPr>
                <w:color w:val="000000"/>
                <w:szCs w:val="48"/>
              </w:rPr>
              <w:t>1.007825 u</w:t>
            </w:r>
          </w:p>
          <w:p w:rsidR="00A71D37" w:rsidRDefault="00A71D37" w:rsidP="008F2C6E">
            <w:pPr>
              <w:tabs>
                <w:tab w:val="left" w:pos="1305"/>
              </w:tabs>
              <w:autoSpaceDE w:val="0"/>
              <w:autoSpaceDN w:val="0"/>
              <w:adjustRightInd w:val="0"/>
              <w:rPr>
                <w:color w:val="000000"/>
                <w:szCs w:val="48"/>
              </w:rPr>
            </w:pPr>
            <w:r w:rsidRPr="00A71D37">
              <w:rPr>
                <w:color w:val="000000"/>
                <w:szCs w:val="48"/>
              </w:rPr>
              <w:t>1.008665 u</w:t>
            </w:r>
          </w:p>
          <w:p w:rsidR="00A71D37" w:rsidRPr="00A71D37" w:rsidRDefault="00A71D37" w:rsidP="008F2C6E">
            <w:pPr>
              <w:tabs>
                <w:tab w:val="left" w:pos="1305"/>
              </w:tabs>
              <w:autoSpaceDE w:val="0"/>
              <w:autoSpaceDN w:val="0"/>
              <w:adjustRightInd w:val="0"/>
              <w:rPr>
                <w:color w:val="000000"/>
                <w:szCs w:val="48"/>
              </w:rPr>
            </w:pPr>
            <w:r>
              <w:rPr>
                <w:color w:val="000000"/>
                <w:szCs w:val="48"/>
              </w:rPr>
              <w:t xml:space="preserve">931.5 </w:t>
            </w:r>
            <w:proofErr w:type="spellStart"/>
            <w:r>
              <w:rPr>
                <w:color w:val="000000"/>
                <w:szCs w:val="48"/>
              </w:rPr>
              <w:t>MeV</w:t>
            </w:r>
            <w:proofErr w:type="spellEnd"/>
          </w:p>
        </w:tc>
      </w:tr>
    </w:tbl>
    <w:p w:rsidR="005404FE" w:rsidRDefault="005404FE" w:rsidP="009807C9">
      <w:pPr>
        <w:rPr>
          <w:color w:val="000000"/>
        </w:rPr>
      </w:pPr>
    </w:p>
    <w:p w:rsidR="009807C9" w:rsidRPr="009807C9" w:rsidRDefault="009807C9" w:rsidP="009807C9">
      <w:pPr>
        <w:rPr>
          <w:color w:val="000000"/>
        </w:rPr>
      </w:pPr>
      <w:r w:rsidRPr="009807C9">
        <w:rPr>
          <w:color w:val="000000"/>
        </w:rPr>
        <w:t>Binding energy in general</w:t>
      </w:r>
      <w:r>
        <w:rPr>
          <w:color w:val="000000"/>
        </w:rPr>
        <w:t>:</w:t>
      </w:r>
    </w:p>
    <w:p w:rsidR="009807C9" w:rsidRPr="009807C9" w:rsidRDefault="009807C9" w:rsidP="005404FE">
      <w:pPr>
        <w:numPr>
          <w:ilvl w:val="0"/>
          <w:numId w:val="1"/>
        </w:numPr>
        <w:rPr>
          <w:color w:val="000000"/>
        </w:rPr>
      </w:pPr>
      <w:r w:rsidRPr="009807C9">
        <w:rPr>
          <w:color w:val="000000"/>
        </w:rPr>
        <w:t>Look</w:t>
      </w:r>
      <w:r w:rsidR="005E0C36">
        <w:rPr>
          <w:color w:val="000000"/>
        </w:rPr>
        <w:t xml:space="preserve"> up</w:t>
      </w:r>
      <w:r w:rsidRPr="009807C9">
        <w:rPr>
          <w:color w:val="000000"/>
        </w:rPr>
        <w:t xml:space="preserve"> neutral atom mass in Appendix F (p 1064)</w:t>
      </w:r>
      <w:r>
        <w:rPr>
          <w:color w:val="000000"/>
        </w:rPr>
        <w:t xml:space="preserve"> – or on the website..</w:t>
      </w:r>
    </w:p>
    <w:p w:rsidR="009807C9" w:rsidRPr="009807C9" w:rsidRDefault="009807C9" w:rsidP="005404FE">
      <w:pPr>
        <w:numPr>
          <w:ilvl w:val="0"/>
          <w:numId w:val="1"/>
        </w:numPr>
        <w:rPr>
          <w:color w:val="000000"/>
        </w:rPr>
      </w:pPr>
      <w:r w:rsidRPr="009807C9">
        <w:rPr>
          <w:color w:val="000000"/>
        </w:rPr>
        <w:t>Break atom into H and n</w:t>
      </w:r>
    </w:p>
    <w:p w:rsidR="009807C9" w:rsidRPr="009807C9" w:rsidRDefault="009807C9" w:rsidP="005404FE">
      <w:pPr>
        <w:numPr>
          <w:ilvl w:val="0"/>
          <w:numId w:val="1"/>
        </w:numPr>
        <w:rPr>
          <w:color w:val="000000"/>
        </w:rPr>
      </w:pPr>
      <w:r w:rsidRPr="009807C9">
        <w:rPr>
          <w:color w:val="000000"/>
        </w:rPr>
        <w:t>Subtract neutral atom mass from taken apart mass</w:t>
      </w:r>
    </w:p>
    <w:p w:rsidR="009807C9" w:rsidRPr="009807C9" w:rsidRDefault="009807C9" w:rsidP="005404FE">
      <w:pPr>
        <w:numPr>
          <w:ilvl w:val="0"/>
          <w:numId w:val="1"/>
        </w:numPr>
        <w:rPr>
          <w:color w:val="000000"/>
        </w:rPr>
      </w:pPr>
      <w:r w:rsidRPr="009807C9">
        <w:rPr>
          <w:color w:val="000000"/>
        </w:rPr>
        <w:t xml:space="preserve">Multiply mass defect by 931.5 </w:t>
      </w:r>
      <w:proofErr w:type="spellStart"/>
      <w:r w:rsidRPr="009807C9">
        <w:rPr>
          <w:color w:val="000000"/>
        </w:rPr>
        <w:t>Mev</w:t>
      </w:r>
      <w:proofErr w:type="spellEnd"/>
      <w:r w:rsidRPr="009807C9">
        <w:rPr>
          <w:color w:val="000000"/>
        </w:rPr>
        <w:t>/u</w:t>
      </w:r>
    </w:p>
    <w:p w:rsidR="005404FE" w:rsidRDefault="005404FE" w:rsidP="00F722EC">
      <w:pPr>
        <w:rPr>
          <w:color w:val="000000"/>
        </w:rPr>
      </w:pPr>
    </w:p>
    <w:p w:rsidR="00197568" w:rsidRPr="00734869" w:rsidRDefault="00F722EC" w:rsidP="008979C3">
      <w:r w:rsidRPr="00F722EC">
        <w:t xml:space="preserve">Example 1:  </w:t>
      </w:r>
      <w:r w:rsidR="005404FE">
        <w:t xml:space="preserve">What is the binding energy of carbon </w:t>
      </w:r>
      <w:r w:rsidR="00886DD9">
        <w:t>14</w:t>
      </w:r>
      <w:r w:rsidR="005404FE">
        <w:t>?</w:t>
      </w:r>
      <w:r w:rsidR="008979C3" w:rsidRPr="00734869">
        <w:t xml:space="preserve"> </w:t>
      </w:r>
    </w:p>
    <w:sectPr w:rsidR="00197568" w:rsidRPr="00734869" w:rsidSect="009A6437">
      <w:pgSz w:w="12240" w:h="15840"/>
      <w:pgMar w:top="900" w:right="720" w:bottom="5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D9" w:rsidRDefault="00886DD9">
      <w:r>
        <w:separator/>
      </w:r>
    </w:p>
  </w:endnote>
  <w:endnote w:type="continuationSeparator" w:id="0">
    <w:p w:rsidR="00886DD9" w:rsidRDefault="00886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D9" w:rsidRDefault="00886DD9">
      <w:r>
        <w:separator/>
      </w:r>
    </w:p>
  </w:footnote>
  <w:footnote w:type="continuationSeparator" w:id="0">
    <w:p w:rsidR="00886DD9" w:rsidRDefault="00886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30AC"/>
    <w:multiLevelType w:val="hybridMultilevel"/>
    <w:tmpl w:val="F7425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US" w:vendorID="64" w:dllVersion="131078" w:nlCheck="1" w:checkStyle="1"/>
  <w:activeWritingStyle w:appName="MSWord" w:lang="es-ES" w:vendorID="64" w:dllVersion="131078" w:nlCheck="1" w:checkStyle="1"/>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5967F2"/>
    <w:rsid w:val="00005093"/>
    <w:rsid w:val="00015B91"/>
    <w:rsid w:val="00054771"/>
    <w:rsid w:val="000771CE"/>
    <w:rsid w:val="000851E6"/>
    <w:rsid w:val="00087A26"/>
    <w:rsid w:val="00097C85"/>
    <w:rsid w:val="000B39D3"/>
    <w:rsid w:val="0010405B"/>
    <w:rsid w:val="001401ED"/>
    <w:rsid w:val="001677BC"/>
    <w:rsid w:val="0018374B"/>
    <w:rsid w:val="00183AEF"/>
    <w:rsid w:val="00185D2B"/>
    <w:rsid w:val="00197568"/>
    <w:rsid w:val="001A22CD"/>
    <w:rsid w:val="001D243D"/>
    <w:rsid w:val="001E3CFE"/>
    <w:rsid w:val="00207D87"/>
    <w:rsid w:val="0021771C"/>
    <w:rsid w:val="0032474C"/>
    <w:rsid w:val="00326108"/>
    <w:rsid w:val="00343E6D"/>
    <w:rsid w:val="003544CA"/>
    <w:rsid w:val="00393E96"/>
    <w:rsid w:val="003A0EBB"/>
    <w:rsid w:val="003A3D4B"/>
    <w:rsid w:val="003A3D5B"/>
    <w:rsid w:val="003E08BD"/>
    <w:rsid w:val="0041065F"/>
    <w:rsid w:val="00431C8D"/>
    <w:rsid w:val="00470E60"/>
    <w:rsid w:val="00475C02"/>
    <w:rsid w:val="004F1449"/>
    <w:rsid w:val="00533AA5"/>
    <w:rsid w:val="00536157"/>
    <w:rsid w:val="005404FE"/>
    <w:rsid w:val="00550237"/>
    <w:rsid w:val="00585C7B"/>
    <w:rsid w:val="005967F2"/>
    <w:rsid w:val="005D60D5"/>
    <w:rsid w:val="005E0C36"/>
    <w:rsid w:val="00627137"/>
    <w:rsid w:val="00636706"/>
    <w:rsid w:val="006442CE"/>
    <w:rsid w:val="006F192F"/>
    <w:rsid w:val="00717374"/>
    <w:rsid w:val="007311CD"/>
    <w:rsid w:val="007317F7"/>
    <w:rsid w:val="00734869"/>
    <w:rsid w:val="007369AE"/>
    <w:rsid w:val="00744039"/>
    <w:rsid w:val="0075086E"/>
    <w:rsid w:val="007B6C1A"/>
    <w:rsid w:val="007D2D00"/>
    <w:rsid w:val="007E2D46"/>
    <w:rsid w:val="00830C3D"/>
    <w:rsid w:val="00840C2F"/>
    <w:rsid w:val="00851FC0"/>
    <w:rsid w:val="00851FEE"/>
    <w:rsid w:val="0085727F"/>
    <w:rsid w:val="00862B53"/>
    <w:rsid w:val="008647AF"/>
    <w:rsid w:val="00886DD9"/>
    <w:rsid w:val="008979C3"/>
    <w:rsid w:val="008A32F5"/>
    <w:rsid w:val="008B0029"/>
    <w:rsid w:val="008B6CB3"/>
    <w:rsid w:val="008D0023"/>
    <w:rsid w:val="008D2BA8"/>
    <w:rsid w:val="008D561D"/>
    <w:rsid w:val="008E1B17"/>
    <w:rsid w:val="008F00EE"/>
    <w:rsid w:val="008F2C6E"/>
    <w:rsid w:val="0091520F"/>
    <w:rsid w:val="00970C05"/>
    <w:rsid w:val="009807C9"/>
    <w:rsid w:val="009A6437"/>
    <w:rsid w:val="009A683E"/>
    <w:rsid w:val="009C1AA4"/>
    <w:rsid w:val="009D3E82"/>
    <w:rsid w:val="00A0418A"/>
    <w:rsid w:val="00A1778C"/>
    <w:rsid w:val="00A36CA6"/>
    <w:rsid w:val="00A71D37"/>
    <w:rsid w:val="00A84988"/>
    <w:rsid w:val="00A906B0"/>
    <w:rsid w:val="00A9710F"/>
    <w:rsid w:val="00AB110A"/>
    <w:rsid w:val="00B2161C"/>
    <w:rsid w:val="00B22E14"/>
    <w:rsid w:val="00B444F1"/>
    <w:rsid w:val="00B54C17"/>
    <w:rsid w:val="00BA7284"/>
    <w:rsid w:val="00BC5098"/>
    <w:rsid w:val="00BD23F2"/>
    <w:rsid w:val="00BE4DA8"/>
    <w:rsid w:val="00C10909"/>
    <w:rsid w:val="00C317D5"/>
    <w:rsid w:val="00C41F8D"/>
    <w:rsid w:val="00C651E9"/>
    <w:rsid w:val="00C9172A"/>
    <w:rsid w:val="00C948D2"/>
    <w:rsid w:val="00CC5539"/>
    <w:rsid w:val="00CF2727"/>
    <w:rsid w:val="00D204F6"/>
    <w:rsid w:val="00D43809"/>
    <w:rsid w:val="00DD1AED"/>
    <w:rsid w:val="00DD6302"/>
    <w:rsid w:val="00DF36BE"/>
    <w:rsid w:val="00DF400D"/>
    <w:rsid w:val="00E15427"/>
    <w:rsid w:val="00E34732"/>
    <w:rsid w:val="00E92CFB"/>
    <w:rsid w:val="00EE06AF"/>
    <w:rsid w:val="00EE4AC3"/>
    <w:rsid w:val="00EF0BF0"/>
    <w:rsid w:val="00F02ED4"/>
    <w:rsid w:val="00F15F91"/>
    <w:rsid w:val="00F25255"/>
    <w:rsid w:val="00F44225"/>
    <w:rsid w:val="00F606C8"/>
    <w:rsid w:val="00F722EC"/>
    <w:rsid w:val="00F855A3"/>
    <w:rsid w:val="00F855D6"/>
    <w:rsid w:val="00FA3CCE"/>
    <w:rsid w:val="00FB0D7F"/>
    <w:rsid w:val="00FD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6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023"/>
    <w:pPr>
      <w:tabs>
        <w:tab w:val="center" w:pos="4320"/>
        <w:tab w:val="right" w:pos="8640"/>
      </w:tabs>
    </w:pPr>
  </w:style>
  <w:style w:type="paragraph" w:styleId="Footer">
    <w:name w:val="footer"/>
    <w:basedOn w:val="Normal"/>
    <w:rsid w:val="008D0023"/>
    <w:pPr>
      <w:tabs>
        <w:tab w:val="center" w:pos="4320"/>
        <w:tab w:val="right" w:pos="8640"/>
      </w:tabs>
    </w:pPr>
  </w:style>
  <w:style w:type="paragraph" w:styleId="BalloonText">
    <w:name w:val="Balloon Text"/>
    <w:basedOn w:val="Normal"/>
    <w:semiHidden/>
    <w:rsid w:val="00B444F1"/>
    <w:rPr>
      <w:rFonts w:ascii="Tahoma" w:hAnsi="Tahoma" w:cs="Tahoma"/>
      <w:sz w:val="16"/>
      <w:szCs w:val="16"/>
    </w:rPr>
  </w:style>
  <w:style w:type="table" w:styleId="TableGrid">
    <w:name w:val="Table Grid"/>
    <w:basedOn w:val="TableNormal"/>
    <w:rsid w:val="00970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611629">
      <w:bodyDiv w:val="1"/>
      <w:marLeft w:val="0"/>
      <w:marRight w:val="0"/>
      <w:marTop w:val="0"/>
      <w:marBottom w:val="0"/>
      <w:divBdr>
        <w:top w:val="none" w:sz="0" w:space="0" w:color="auto"/>
        <w:left w:val="none" w:sz="0" w:space="0" w:color="auto"/>
        <w:bottom w:val="none" w:sz="0" w:space="0" w:color="auto"/>
        <w:right w:val="none" w:sz="0" w:space="0" w:color="auto"/>
      </w:divBdr>
      <w:divsChild>
        <w:div w:id="1485505330">
          <w:marLeft w:val="0"/>
          <w:marRight w:val="0"/>
          <w:marTop w:val="0"/>
          <w:marBottom w:val="0"/>
          <w:divBdr>
            <w:top w:val="none" w:sz="0" w:space="0" w:color="auto"/>
            <w:left w:val="none" w:sz="0" w:space="0" w:color="auto"/>
            <w:bottom w:val="none" w:sz="0" w:space="0" w:color="auto"/>
            <w:right w:val="none" w:sz="0" w:space="0" w:color="auto"/>
          </w:divBdr>
          <w:divsChild>
            <w:div w:id="512453942">
              <w:marLeft w:val="0"/>
              <w:marRight w:val="0"/>
              <w:marTop w:val="0"/>
              <w:marBottom w:val="0"/>
              <w:divBdr>
                <w:top w:val="none" w:sz="0" w:space="0" w:color="auto"/>
                <w:left w:val="none" w:sz="0" w:space="0" w:color="auto"/>
                <w:bottom w:val="none" w:sz="0" w:space="0" w:color="auto"/>
                <w:right w:val="none" w:sz="0" w:space="0" w:color="auto"/>
              </w:divBdr>
            </w:div>
            <w:div w:id="1203253439">
              <w:marLeft w:val="0"/>
              <w:marRight w:val="0"/>
              <w:marTop w:val="0"/>
              <w:marBottom w:val="0"/>
              <w:divBdr>
                <w:top w:val="none" w:sz="0" w:space="0" w:color="auto"/>
                <w:left w:val="none" w:sz="0" w:space="0" w:color="auto"/>
                <w:bottom w:val="none" w:sz="0" w:space="0" w:color="auto"/>
                <w:right w:val="none" w:sz="0" w:space="0" w:color="auto"/>
              </w:divBdr>
            </w:div>
            <w:div w:id="1642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Photons and the Photo-Electric Effect</vt:lpstr>
    </vt:vector>
  </TitlesOfParts>
  <Company>Murray Riley Family</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Photons and the Photo-Electric Effect</dc:title>
  <dc:creator>HP Authorized Customer</dc:creator>
  <cp:lastModifiedBy>Murray, Christopher</cp:lastModifiedBy>
  <cp:revision>3</cp:revision>
  <cp:lastPrinted>2009-02-13T22:52:00Z</cp:lastPrinted>
  <dcterms:created xsi:type="dcterms:W3CDTF">2014-01-31T17:11:00Z</dcterms:created>
  <dcterms:modified xsi:type="dcterms:W3CDTF">2016-04-05T22:25:00Z</dcterms:modified>
</cp:coreProperties>
</file>